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9E3EE4">
        <w:rPr>
          <w:rStyle w:val="ae"/>
          <w:lang w:val="ru-RU"/>
        </w:rPr>
        <w:t>ИУ8-83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9E3EE4">
        <w:rPr>
          <w:rStyle w:val="ae"/>
          <w:lang w:val="ru-RU"/>
        </w:rPr>
        <w:t>4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9E3EE4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9E3EE4">
        <w:rPr>
          <w:rStyle w:val="ae"/>
          <w:lang w:val="ru-RU"/>
        </w:rPr>
        <w:t>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9E3EE4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9E3EE4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E3EE4">
        <w:rPr>
          <w:rFonts w:cs="Times New Roman"/>
          <w:bCs/>
          <w:szCs w:val="24"/>
          <w:lang w:val="ru-RU"/>
        </w:rPr>
        <w:t>стандарты разработки, оформления и ведения научной, конструкторской и эксплуатационной документации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E3EE4">
        <w:rPr>
          <w:rFonts w:eastAsia="Times New Roman" w:cs="Times New Roman"/>
          <w:color w:val="000000"/>
          <w:szCs w:val="24"/>
          <w:lang w:val="ru-RU"/>
        </w:rPr>
        <w:t>научно-практические материалы для выполнения НИРС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9E3EE4">
        <w:rPr>
          <w:rFonts w:cs="Times New Roman"/>
          <w:bCs/>
          <w:szCs w:val="24"/>
          <w:lang w:val="ru-RU"/>
        </w:rPr>
        <w:t>изучения вопросов и выявления проблем при защите информации ограниченного доступа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E4" w:rsidRDefault="009E3EE4" w:rsidP="009F35A1">
      <w:pPr>
        <w:spacing w:line="240" w:lineRule="auto"/>
      </w:pPr>
      <w:r>
        <w:separator/>
      </w:r>
    </w:p>
  </w:endnote>
  <w:endnote w:type="continuationSeparator" w:id="0">
    <w:p w:rsidR="009E3EE4" w:rsidRDefault="009E3EE4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E4" w:rsidRDefault="009E3EE4" w:rsidP="009F35A1">
      <w:pPr>
        <w:spacing w:line="240" w:lineRule="auto"/>
      </w:pPr>
      <w:r>
        <w:separator/>
      </w:r>
    </w:p>
  </w:footnote>
  <w:footnote w:type="continuationSeparator" w:id="0">
    <w:p w:rsidR="009E3EE4" w:rsidRDefault="009E3EE4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E4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E3EE4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124</Words>
  <Characters>1061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технологическая (4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